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A117D" w14:textId="6AE79BC0" w:rsidR="00F06BDD" w:rsidRPr="00863065" w:rsidRDefault="00F06BDD" w:rsidP="00F06BDD">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Pr>
          <w:rFonts w:cs="Arial" w:hint="eastAsia"/>
        </w:rPr>
        <w:t>28</w:t>
      </w:r>
      <w:r w:rsidRPr="00863065">
        <w:rPr>
          <w:rFonts w:cs="Arial"/>
        </w:rPr>
        <w:tab/>
      </w:r>
      <w:r w:rsidRPr="002A3787">
        <w:rPr>
          <w:rFonts w:cs="Arial"/>
        </w:rPr>
        <w:t>R</w:t>
      </w:r>
      <w:r w:rsidRPr="002A3787">
        <w:rPr>
          <w:rFonts w:cs="Arial" w:hint="eastAsia"/>
        </w:rPr>
        <w:t>2</w:t>
      </w:r>
      <w:r w:rsidRPr="002A3787">
        <w:rPr>
          <w:rFonts w:cs="Arial"/>
        </w:rPr>
        <w:t>-2</w:t>
      </w:r>
      <w:r w:rsidRPr="002A3787">
        <w:rPr>
          <w:rFonts w:cs="Arial" w:hint="eastAsia"/>
        </w:rPr>
        <w:t>4</w:t>
      </w:r>
      <w:r w:rsidR="002A3787" w:rsidRPr="002A3787">
        <w:rPr>
          <w:rFonts w:cs="Arial" w:hint="eastAsia"/>
        </w:rPr>
        <w:t>10313</w:t>
      </w:r>
    </w:p>
    <w:p w14:paraId="23FDDCED" w14:textId="77777777" w:rsidR="00F06BDD" w:rsidRPr="00863065" w:rsidRDefault="00F06BDD" w:rsidP="00F06BDD">
      <w:pPr>
        <w:pStyle w:val="a7"/>
        <w:tabs>
          <w:tab w:val="left" w:pos="709"/>
          <w:tab w:val="right" w:pos="9639"/>
        </w:tabs>
        <w:spacing w:after="0"/>
        <w:jc w:val="left"/>
        <w:rPr>
          <w:rFonts w:cs="Arial"/>
          <w:lang w:val="en-US"/>
        </w:rPr>
      </w:pPr>
      <w:r>
        <w:rPr>
          <w:rFonts w:cs="Arial" w:hint="eastAsia"/>
          <w:lang w:val="en-US"/>
        </w:rPr>
        <w:t>Orlando</w:t>
      </w:r>
      <w:r>
        <w:rPr>
          <w:rFonts w:cs="Arial"/>
          <w:lang w:val="en-US"/>
        </w:rPr>
        <w:t xml:space="preserve">, </w:t>
      </w:r>
      <w:r>
        <w:rPr>
          <w:rFonts w:cs="Arial" w:hint="eastAsia"/>
          <w:lang w:val="en-US"/>
        </w:rPr>
        <w:t>US</w:t>
      </w:r>
      <w:r>
        <w:rPr>
          <w:rFonts w:cs="Arial"/>
          <w:lang w:val="en-US"/>
        </w:rPr>
        <w:t xml:space="preserve">, </w:t>
      </w:r>
      <w:r>
        <w:rPr>
          <w:rFonts w:cs="Arial" w:hint="eastAsia"/>
          <w:lang w:val="en-US"/>
        </w:rPr>
        <w:t>18</w:t>
      </w:r>
      <w:r w:rsidRPr="00ED4390">
        <w:rPr>
          <w:rFonts w:cs="Arial" w:hint="eastAsia"/>
          <w:vertAlign w:val="superscript"/>
          <w:lang w:val="en-US"/>
        </w:rPr>
        <w:t>th</w:t>
      </w:r>
      <w:r>
        <w:rPr>
          <w:rFonts w:cs="Arial" w:hint="eastAsia"/>
          <w:lang w:val="en-US"/>
        </w:rPr>
        <w:t xml:space="preserve"> </w:t>
      </w:r>
      <w:r>
        <w:rPr>
          <w:rFonts w:cs="Arial"/>
          <w:lang w:val="en-US"/>
        </w:rPr>
        <w:t>–</w:t>
      </w:r>
      <w:r>
        <w:rPr>
          <w:rFonts w:cs="Arial" w:hint="eastAsia"/>
          <w:lang w:val="en-US"/>
        </w:rPr>
        <w:t xml:space="preserve"> 22</w:t>
      </w:r>
      <w:r w:rsidRPr="00ED4390">
        <w:rPr>
          <w:rFonts w:cs="Arial" w:hint="eastAsia"/>
          <w:vertAlign w:val="superscript"/>
          <w:lang w:val="en-US"/>
        </w:rPr>
        <w:t>nd</w:t>
      </w:r>
      <w:r>
        <w:rPr>
          <w:rFonts w:cs="Arial" w:hint="eastAsia"/>
          <w:lang w:val="en-US"/>
        </w:rPr>
        <w:t xml:space="preserve">, </w:t>
      </w:r>
      <w:r>
        <w:rPr>
          <w:rFonts w:cs="Arial"/>
          <w:lang w:val="en-US"/>
        </w:rPr>
        <w:t>November</w:t>
      </w:r>
      <w:r>
        <w:rPr>
          <w:rFonts w:cs="Arial" w:hint="eastAsia"/>
          <w:lang w:val="en-US"/>
        </w:rPr>
        <w:t xml:space="preserve"> 2024</w:t>
      </w:r>
    </w:p>
    <w:p w14:paraId="5D1134E1" w14:textId="6114B414" w:rsidR="00F06BDD" w:rsidRPr="00863065" w:rsidRDefault="00F06BDD" w:rsidP="00F06BDD">
      <w:pPr>
        <w:keepNext/>
        <w:pBdr>
          <w:top w:val="single" w:sz="4" w:space="1" w:color="auto"/>
        </w:pBdr>
        <w:tabs>
          <w:tab w:val="left" w:pos="2552"/>
        </w:tabs>
        <w:ind w:left="2550" w:hanging="2550"/>
        <w:rPr>
          <w:rFonts w:cs="Arial"/>
          <w:b/>
          <w:sz w:val="24"/>
        </w:rPr>
      </w:pPr>
      <w:r w:rsidRPr="00863065">
        <w:rPr>
          <w:rFonts w:cs="Arial"/>
          <w:b/>
          <w:sz w:val="24"/>
        </w:rPr>
        <w:t>Source:</w:t>
      </w:r>
      <w:r>
        <w:rPr>
          <w:rFonts w:cs="Arial"/>
          <w:b/>
          <w:sz w:val="24"/>
        </w:rPr>
        <w:tab/>
      </w:r>
      <w:r>
        <w:rPr>
          <w:rFonts w:cs="Arial" w:hint="eastAsia"/>
          <w:b/>
          <w:sz w:val="24"/>
        </w:rPr>
        <w:t>NTT DOCOMO, INC.</w:t>
      </w:r>
    </w:p>
    <w:p w14:paraId="78269232" w14:textId="5AFC8346" w:rsidR="00F06BDD" w:rsidRPr="00863065" w:rsidRDefault="00F06BDD" w:rsidP="00F06BDD">
      <w:pPr>
        <w:keepNext/>
        <w:pBdr>
          <w:top w:val="single" w:sz="4" w:space="1" w:color="auto"/>
        </w:pBdr>
        <w:tabs>
          <w:tab w:val="left" w:pos="2552"/>
        </w:tabs>
        <w:ind w:left="2550" w:hanging="2550"/>
        <w:rPr>
          <w:rFonts w:cs="Arial"/>
          <w:b/>
          <w:sz w:val="24"/>
        </w:rPr>
      </w:pPr>
      <w:r w:rsidRPr="00863065">
        <w:rPr>
          <w:rFonts w:cs="Arial"/>
          <w:b/>
          <w:sz w:val="24"/>
        </w:rPr>
        <w:t>Title:</w:t>
      </w:r>
      <w:r>
        <w:rPr>
          <w:rFonts w:cs="Arial"/>
          <w:b/>
          <w:sz w:val="24"/>
        </w:rPr>
        <w:tab/>
      </w:r>
      <w:r w:rsidR="00205460" w:rsidRPr="00205460">
        <w:rPr>
          <w:rFonts w:cs="Arial"/>
          <w:b/>
          <w:sz w:val="24"/>
        </w:rPr>
        <w:t>Remaining issues on study of AIoT random access</w:t>
      </w:r>
    </w:p>
    <w:p w14:paraId="7AC38F08" w14:textId="77777777" w:rsidR="00F06BDD" w:rsidRPr="00863065" w:rsidRDefault="00F06BDD" w:rsidP="00F06BDD">
      <w:pPr>
        <w:keepNext/>
        <w:tabs>
          <w:tab w:val="left" w:pos="2552"/>
        </w:tabs>
        <w:rPr>
          <w:rFonts w:cs="Arial"/>
          <w:b/>
          <w:sz w:val="24"/>
        </w:rPr>
      </w:pPr>
      <w:r w:rsidRPr="00863065">
        <w:rPr>
          <w:rFonts w:cs="Arial"/>
          <w:b/>
          <w:sz w:val="24"/>
        </w:rPr>
        <w:t>Document for:</w:t>
      </w:r>
      <w:r>
        <w:rPr>
          <w:rFonts w:cs="Arial"/>
          <w:b/>
          <w:sz w:val="24"/>
        </w:rPr>
        <w:tab/>
      </w:r>
      <w:r>
        <w:rPr>
          <w:rFonts w:cs="Arial" w:hint="eastAsia"/>
          <w:b/>
          <w:sz w:val="24"/>
        </w:rPr>
        <w:t>Discussion and decision</w:t>
      </w:r>
    </w:p>
    <w:p w14:paraId="3B532450" w14:textId="4F919A89" w:rsidR="00F06BDD" w:rsidRPr="00863065" w:rsidRDefault="00F06BDD" w:rsidP="00F06BDD">
      <w:pPr>
        <w:keepNext/>
        <w:pBdr>
          <w:bottom w:val="single" w:sz="4" w:space="1" w:color="auto"/>
        </w:pBdr>
        <w:tabs>
          <w:tab w:val="left" w:pos="2552"/>
        </w:tabs>
        <w:rPr>
          <w:rFonts w:cs="Arial"/>
          <w:b/>
          <w:sz w:val="24"/>
        </w:rPr>
      </w:pPr>
      <w:r w:rsidRPr="00863065">
        <w:rPr>
          <w:rFonts w:cs="Arial"/>
          <w:b/>
          <w:sz w:val="24"/>
        </w:rPr>
        <w:t>Agenda Item:</w:t>
      </w:r>
      <w:r>
        <w:rPr>
          <w:rFonts w:cs="Arial"/>
          <w:b/>
          <w:sz w:val="24"/>
        </w:rPr>
        <w:tab/>
      </w:r>
      <w:r w:rsidR="00120812">
        <w:rPr>
          <w:rFonts w:cs="Arial" w:hint="eastAsia"/>
          <w:b/>
          <w:sz w:val="24"/>
        </w:rPr>
        <w:t>8</w:t>
      </w:r>
      <w:r>
        <w:rPr>
          <w:rFonts w:cs="Arial"/>
          <w:b/>
          <w:sz w:val="24"/>
        </w:rPr>
        <w:t>.</w:t>
      </w:r>
      <w:r w:rsidR="00120812">
        <w:rPr>
          <w:rFonts w:cs="Arial" w:hint="eastAsia"/>
          <w:b/>
          <w:sz w:val="24"/>
        </w:rPr>
        <w:t>2</w:t>
      </w:r>
      <w:r>
        <w:rPr>
          <w:rFonts w:cs="Arial"/>
          <w:b/>
          <w:sz w:val="24"/>
        </w:rPr>
        <w:t>.</w:t>
      </w:r>
      <w:r w:rsidR="00294354">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1CE8B70A" w14:textId="5D1CD0C2" w:rsidR="001F6882" w:rsidRDefault="001F6882" w:rsidP="001F6882">
      <w:pPr>
        <w:rPr>
          <w:szCs w:val="22"/>
        </w:rPr>
      </w:pPr>
      <w:r>
        <w:rPr>
          <w:rFonts w:hint="eastAsia"/>
          <w:szCs w:val="22"/>
        </w:rPr>
        <w:t xml:space="preserve">The SI: </w:t>
      </w:r>
      <w:r w:rsidRPr="00313FFF">
        <w:rPr>
          <w:szCs w:val="22"/>
        </w:rPr>
        <w:t>FS_ Ambient_IoT_Solutions_RAN</w:t>
      </w:r>
      <w:r>
        <w:rPr>
          <w:rFonts w:hint="eastAsia"/>
          <w:szCs w:val="22"/>
        </w:rPr>
        <w:t xml:space="preserve"> is planned to be closed in this meeting [1]. </w:t>
      </w:r>
      <w:r>
        <w:rPr>
          <w:szCs w:val="22"/>
        </w:rPr>
        <w:t>This</w:t>
      </w:r>
      <w:r>
        <w:rPr>
          <w:rFonts w:hint="eastAsia"/>
          <w:szCs w:val="22"/>
        </w:rPr>
        <w:t xml:space="preserve"> contribution provides our views on remaining issues to conclude the study on A-IoT random access.</w:t>
      </w:r>
    </w:p>
    <w:p w14:paraId="43688CA7" w14:textId="77777777" w:rsidR="001F6882" w:rsidRPr="00262F8E" w:rsidRDefault="001F6882"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347B5663" w:rsidR="007E2FC8" w:rsidRDefault="007E01D7" w:rsidP="007E2FC8">
      <w:pPr>
        <w:pStyle w:val="2"/>
        <w:numPr>
          <w:ilvl w:val="1"/>
          <w:numId w:val="2"/>
        </w:numPr>
        <w:rPr>
          <w:rFonts w:cs="Arial"/>
        </w:rPr>
      </w:pPr>
      <w:r>
        <w:rPr>
          <w:rFonts w:cs="Arial" w:hint="eastAsia"/>
        </w:rPr>
        <w:t>Down selection for RA types (2-step, 3-step, CFRA)</w:t>
      </w:r>
    </w:p>
    <w:p w14:paraId="01F2FEF2" w14:textId="4B3C54A7" w:rsidR="007E2FC8" w:rsidRDefault="007D576C" w:rsidP="007E2FC8">
      <w:pPr>
        <w:rPr>
          <w:bCs/>
          <w:szCs w:val="22"/>
        </w:rPr>
      </w:pPr>
      <w:r>
        <w:rPr>
          <w:rFonts w:hint="eastAsia"/>
          <w:bCs/>
          <w:szCs w:val="22"/>
        </w:rPr>
        <w:t>RAN2 has agreed to study three types of A-IoT random access, 2-step CBRA, 3-step CBRA and CFRA. In this section, we provide our observations about these RA types and our view on which RA type to prioritize in WI phase.</w:t>
      </w:r>
    </w:p>
    <w:p w14:paraId="5E597A8B" w14:textId="0F089DDE" w:rsidR="007D576C" w:rsidRPr="00EE5D5E" w:rsidRDefault="007D576C" w:rsidP="00EE5D5E">
      <w:pPr>
        <w:pStyle w:val="aa"/>
        <w:numPr>
          <w:ilvl w:val="0"/>
          <w:numId w:val="4"/>
        </w:numPr>
        <w:ind w:leftChars="0"/>
        <w:rPr>
          <w:bCs/>
          <w:szCs w:val="22"/>
        </w:rPr>
      </w:pPr>
      <w:r w:rsidRPr="00EE5D5E">
        <w:rPr>
          <w:rFonts w:hint="eastAsia"/>
          <w:bCs/>
          <w:szCs w:val="22"/>
        </w:rPr>
        <w:t>The 3-step CBRA is robust and resource-efficient random access. Comparing to 2-step CBRA, the device transmits the random ID and upper layer data</w:t>
      </w:r>
      <w:r w:rsidR="000E70E5" w:rsidRPr="00EE5D5E">
        <w:rPr>
          <w:rFonts w:hint="eastAsia"/>
          <w:bCs/>
          <w:szCs w:val="22"/>
        </w:rPr>
        <w:t xml:space="preserve"> including permanent device ID</w:t>
      </w:r>
      <w:r w:rsidRPr="00EE5D5E">
        <w:rPr>
          <w:rFonts w:hint="eastAsia"/>
          <w:bCs/>
          <w:szCs w:val="22"/>
        </w:rPr>
        <w:t xml:space="preserve"> in multiple D2R messages</w:t>
      </w:r>
      <w:r w:rsidR="000E70E5" w:rsidRPr="00EE5D5E">
        <w:rPr>
          <w:rFonts w:hint="eastAsia"/>
          <w:bCs/>
          <w:szCs w:val="22"/>
        </w:rPr>
        <w:t xml:space="preserve"> as Figure 1 depicts</w:t>
      </w:r>
      <w:r w:rsidR="002446F2">
        <w:rPr>
          <w:rFonts w:hint="eastAsia"/>
          <w:bCs/>
          <w:szCs w:val="22"/>
        </w:rPr>
        <w:t>, that means the size of each message is smaller than Msg1 for 2-step CBRA</w:t>
      </w:r>
      <w:r w:rsidRPr="00EE5D5E">
        <w:rPr>
          <w:rFonts w:hint="eastAsia"/>
          <w:bCs/>
          <w:szCs w:val="22"/>
        </w:rPr>
        <w:t xml:space="preserve">. </w:t>
      </w:r>
      <w:r w:rsidR="000E70E5" w:rsidRPr="00EE5D5E">
        <w:rPr>
          <w:rFonts w:hint="eastAsia"/>
          <w:bCs/>
          <w:szCs w:val="22"/>
        </w:rPr>
        <w:t>Moreover,</w:t>
      </w:r>
      <w:r w:rsidR="002446F2">
        <w:rPr>
          <w:rFonts w:hint="eastAsia"/>
          <w:bCs/>
          <w:szCs w:val="22"/>
        </w:rPr>
        <w:t xml:space="preserve"> since</w:t>
      </w:r>
      <w:r w:rsidR="000E70E5" w:rsidRPr="00EE5D5E">
        <w:rPr>
          <w:rFonts w:hint="eastAsia"/>
          <w:bCs/>
          <w:szCs w:val="22"/>
        </w:rPr>
        <w:t xml:space="preserve"> the message size of Msg1 for 2-step CBRA is larger than that of 3-step CBRA</w:t>
      </w:r>
      <w:r w:rsidR="002446F2">
        <w:rPr>
          <w:rFonts w:hint="eastAsia"/>
          <w:bCs/>
          <w:szCs w:val="22"/>
        </w:rPr>
        <w:t>,</w:t>
      </w:r>
      <w:r w:rsidR="00EE5D5E" w:rsidRPr="00EE5D5E">
        <w:rPr>
          <w:rFonts w:hint="eastAsia"/>
          <w:bCs/>
          <w:szCs w:val="22"/>
        </w:rPr>
        <w:t xml:space="preserve"> the reader to allocate larger size of resources for every access occasion for Msg1</w:t>
      </w:r>
      <w:r w:rsidR="002446F2">
        <w:rPr>
          <w:rFonts w:hint="eastAsia"/>
          <w:bCs/>
          <w:szCs w:val="22"/>
        </w:rPr>
        <w:t xml:space="preserve"> transmission</w:t>
      </w:r>
      <w:r w:rsidR="00EE5D5E" w:rsidRPr="00EE5D5E">
        <w:rPr>
          <w:rFonts w:hint="eastAsia"/>
          <w:bCs/>
          <w:szCs w:val="22"/>
        </w:rPr>
        <w:t>, which consumes much more resources in total</w:t>
      </w:r>
      <w:r w:rsidR="00C008BA">
        <w:rPr>
          <w:rFonts w:hint="eastAsia"/>
          <w:bCs/>
          <w:szCs w:val="22"/>
        </w:rPr>
        <w:t>, than 3-step CBRA</w:t>
      </w:r>
      <w:r w:rsidR="00EE5D5E" w:rsidRPr="00EE5D5E">
        <w:rPr>
          <w:rFonts w:hint="eastAsia"/>
          <w:bCs/>
          <w:szCs w:val="22"/>
        </w:rPr>
        <w:t>.</w:t>
      </w:r>
    </w:p>
    <w:p w14:paraId="664AF329" w14:textId="7AEEA0B3" w:rsidR="000E70E5" w:rsidRDefault="000E70E5" w:rsidP="007E2FC8">
      <w:pPr>
        <w:rPr>
          <w:bCs/>
          <w:szCs w:val="22"/>
        </w:rPr>
      </w:pPr>
      <w:r>
        <w:rPr>
          <w:bCs/>
          <w:noProof/>
          <w:szCs w:val="22"/>
        </w:rPr>
        <w:drawing>
          <wp:inline distT="0" distB="0" distL="0" distR="0" wp14:anchorId="40761BE3" wp14:editId="0FF0ED14">
            <wp:extent cx="6017260" cy="2374069"/>
            <wp:effectExtent l="0" t="0" r="2540" b="0"/>
            <wp:docPr id="168352817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3635" cy="2384475"/>
                    </a:xfrm>
                    <a:prstGeom prst="rect">
                      <a:avLst/>
                    </a:prstGeom>
                    <a:noFill/>
                    <a:ln>
                      <a:noFill/>
                    </a:ln>
                  </pic:spPr>
                </pic:pic>
              </a:graphicData>
            </a:graphic>
          </wp:inline>
        </w:drawing>
      </w:r>
    </w:p>
    <w:p w14:paraId="187FA338" w14:textId="3477767A" w:rsidR="007E01D7" w:rsidRPr="000E70E5" w:rsidRDefault="000E70E5" w:rsidP="000E70E5">
      <w:pPr>
        <w:jc w:val="center"/>
        <w:rPr>
          <w:b/>
          <w:szCs w:val="22"/>
        </w:rPr>
      </w:pPr>
      <w:r w:rsidRPr="000E70E5">
        <w:rPr>
          <w:rFonts w:hint="eastAsia"/>
          <w:b/>
          <w:szCs w:val="22"/>
        </w:rPr>
        <w:t>Figure 1. Comparison between 3-step CBRA and 2-step CBRA.</w:t>
      </w:r>
    </w:p>
    <w:p w14:paraId="7C65F2EE" w14:textId="6FD3A6B7" w:rsidR="000E70E5" w:rsidRDefault="00EE5D5E" w:rsidP="00EE5D5E">
      <w:pPr>
        <w:pStyle w:val="ObservationandProposal"/>
      </w:pPr>
      <w:bookmarkStart w:id="0" w:name="_Hlk181948513"/>
      <w:r>
        <w:rPr>
          <w:rFonts w:hint="eastAsia"/>
        </w:rPr>
        <w:t xml:space="preserve">Observation </w:t>
      </w:r>
      <w:r w:rsidR="00A34556">
        <w:rPr>
          <w:rFonts w:hint="eastAsia"/>
        </w:rPr>
        <w:t>1</w:t>
      </w:r>
      <w:r>
        <w:rPr>
          <w:rFonts w:hint="eastAsia"/>
        </w:rPr>
        <w:t>.</w:t>
      </w:r>
      <w:r>
        <w:tab/>
      </w:r>
      <w:r>
        <w:rPr>
          <w:rFonts w:hint="eastAsia"/>
          <w:bCs w:val="0"/>
        </w:rPr>
        <w:t>The 3-step CBRA is more robust and more resource-efficient than 2-step CBRA.</w:t>
      </w:r>
      <w:bookmarkEnd w:id="0"/>
    </w:p>
    <w:p w14:paraId="157986AD" w14:textId="3B492271" w:rsidR="00EE5D5E" w:rsidRDefault="0065179D" w:rsidP="007E2FC8">
      <w:pPr>
        <w:pStyle w:val="aa"/>
        <w:numPr>
          <w:ilvl w:val="0"/>
          <w:numId w:val="4"/>
        </w:numPr>
        <w:ind w:leftChars="0"/>
        <w:rPr>
          <w:bCs/>
          <w:szCs w:val="22"/>
        </w:rPr>
      </w:pPr>
      <w:r w:rsidRPr="0065179D">
        <w:rPr>
          <w:rFonts w:hint="eastAsia"/>
          <w:bCs/>
          <w:szCs w:val="22"/>
        </w:rPr>
        <w:t xml:space="preserve">The CFRA has the least flexibility on targeting devices. </w:t>
      </w:r>
      <w:r w:rsidR="00EE5D5E" w:rsidRPr="0065179D">
        <w:rPr>
          <w:rFonts w:hint="eastAsia"/>
          <w:bCs/>
          <w:szCs w:val="22"/>
        </w:rPr>
        <w:t xml:space="preserve">In the CFRA, the reader has to explicitly allocate a resource of </w:t>
      </w:r>
      <w:r w:rsidR="00EE5D5E" w:rsidRPr="0065179D">
        <w:rPr>
          <w:bCs/>
          <w:szCs w:val="22"/>
        </w:rPr>
        <w:t>access</w:t>
      </w:r>
      <w:r w:rsidR="00EE5D5E" w:rsidRPr="0065179D">
        <w:rPr>
          <w:rFonts w:hint="eastAsia"/>
          <w:bCs/>
          <w:szCs w:val="22"/>
        </w:rPr>
        <w:t xml:space="preserve"> occasion for D2R transmission to each targeted device respectively. </w:t>
      </w:r>
      <w:r w:rsidRPr="0065179D">
        <w:rPr>
          <w:rFonts w:hint="eastAsia"/>
          <w:bCs/>
          <w:szCs w:val="22"/>
        </w:rPr>
        <w:t>We understand that t</w:t>
      </w:r>
      <w:r w:rsidR="00EE5D5E" w:rsidRPr="0065179D">
        <w:rPr>
          <w:rFonts w:hint="eastAsia"/>
          <w:bCs/>
          <w:szCs w:val="22"/>
        </w:rPr>
        <w:t xml:space="preserve">he group ID </w:t>
      </w:r>
      <w:r w:rsidRPr="0065179D">
        <w:rPr>
          <w:rFonts w:hint="eastAsia"/>
          <w:bCs/>
          <w:szCs w:val="22"/>
        </w:rPr>
        <w:t>cannot</w:t>
      </w:r>
      <w:r w:rsidR="00EE5D5E" w:rsidRPr="0065179D">
        <w:rPr>
          <w:rFonts w:hint="eastAsia"/>
          <w:bCs/>
          <w:szCs w:val="22"/>
        </w:rPr>
        <w:t xml:space="preserve"> be used </w:t>
      </w:r>
      <w:r>
        <w:rPr>
          <w:rFonts w:hint="eastAsia"/>
          <w:bCs/>
          <w:szCs w:val="22"/>
        </w:rPr>
        <w:t xml:space="preserve">in CFRA paging </w:t>
      </w:r>
      <w:r w:rsidR="00EE5D5E" w:rsidRPr="0065179D">
        <w:rPr>
          <w:rFonts w:hint="eastAsia"/>
          <w:bCs/>
          <w:szCs w:val="22"/>
        </w:rPr>
        <w:t xml:space="preserve">since </w:t>
      </w:r>
      <w:r w:rsidRPr="0065179D">
        <w:rPr>
          <w:rFonts w:hint="eastAsia"/>
          <w:bCs/>
          <w:szCs w:val="22"/>
        </w:rPr>
        <w:t xml:space="preserve">it may be difficult to associate the indicated resources with devices in the group, and moreover, </w:t>
      </w:r>
      <w:r w:rsidR="00EE5D5E" w:rsidRPr="0065179D">
        <w:rPr>
          <w:rFonts w:hint="eastAsia"/>
          <w:bCs/>
          <w:szCs w:val="22"/>
        </w:rPr>
        <w:t>the reader has no idea which devices in the group are in the proximity of the reader itself</w:t>
      </w:r>
      <w:r w:rsidRPr="0065179D">
        <w:rPr>
          <w:rFonts w:hint="eastAsia"/>
          <w:bCs/>
          <w:szCs w:val="22"/>
        </w:rPr>
        <w:t>. Therefore</w:t>
      </w:r>
      <w:r w:rsidR="00442454">
        <w:rPr>
          <w:rFonts w:hint="eastAsia"/>
          <w:bCs/>
          <w:szCs w:val="22"/>
        </w:rPr>
        <w:t>,</w:t>
      </w:r>
      <w:r w:rsidRPr="0065179D">
        <w:rPr>
          <w:rFonts w:hint="eastAsia"/>
          <w:bCs/>
          <w:szCs w:val="22"/>
        </w:rPr>
        <w:t xml:space="preserve"> the reader has to indicate targeted device(s) using </w:t>
      </w:r>
      <w:r>
        <w:rPr>
          <w:rFonts w:hint="eastAsia"/>
          <w:bCs/>
          <w:szCs w:val="22"/>
        </w:rPr>
        <w:t xml:space="preserve">corresponding </w:t>
      </w:r>
      <w:r w:rsidRPr="0065179D">
        <w:rPr>
          <w:rFonts w:hint="eastAsia"/>
          <w:bCs/>
          <w:szCs w:val="22"/>
        </w:rPr>
        <w:t xml:space="preserve">ID(s) of targeted device(s). Considering that the </w:t>
      </w:r>
      <w:r w:rsidRPr="0065179D">
        <w:rPr>
          <w:rFonts w:hint="eastAsia"/>
          <w:bCs/>
          <w:szCs w:val="22"/>
        </w:rPr>
        <w:lastRenderedPageBreak/>
        <w:t xml:space="preserve">transport block size for A-IoT air interface is limited approximately to 1,000 bytes, even the number of targeted devices </w:t>
      </w:r>
      <w:r>
        <w:rPr>
          <w:rFonts w:hint="eastAsia"/>
          <w:bCs/>
          <w:szCs w:val="22"/>
        </w:rPr>
        <w:t>will be</w:t>
      </w:r>
      <w:r w:rsidRPr="0065179D">
        <w:rPr>
          <w:rFonts w:hint="eastAsia"/>
          <w:bCs/>
          <w:szCs w:val="22"/>
        </w:rPr>
        <w:t xml:space="preserve"> limited </w:t>
      </w:r>
      <w:r>
        <w:rPr>
          <w:rFonts w:hint="eastAsia"/>
          <w:bCs/>
          <w:szCs w:val="22"/>
        </w:rPr>
        <w:t>in CFRA.</w:t>
      </w:r>
    </w:p>
    <w:p w14:paraId="4B2E5656" w14:textId="2C141A51" w:rsidR="007C60C4" w:rsidRDefault="00294C4A" w:rsidP="007C60C4">
      <w:pPr>
        <w:rPr>
          <w:bCs/>
          <w:szCs w:val="22"/>
        </w:rPr>
      </w:pPr>
      <w:r>
        <w:rPr>
          <w:bCs/>
          <w:noProof/>
          <w:szCs w:val="22"/>
        </w:rPr>
        <w:drawing>
          <wp:inline distT="0" distB="0" distL="0" distR="0" wp14:anchorId="79443F21" wp14:editId="47D76CE1">
            <wp:extent cx="6085840" cy="2737009"/>
            <wp:effectExtent l="0" t="0" r="0" b="0"/>
            <wp:docPr id="79092811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9496" cy="2743150"/>
                    </a:xfrm>
                    <a:prstGeom prst="rect">
                      <a:avLst/>
                    </a:prstGeom>
                    <a:noFill/>
                    <a:ln>
                      <a:noFill/>
                    </a:ln>
                  </pic:spPr>
                </pic:pic>
              </a:graphicData>
            </a:graphic>
          </wp:inline>
        </w:drawing>
      </w:r>
    </w:p>
    <w:p w14:paraId="792F1E4D" w14:textId="1EA5DDDF" w:rsidR="00294C4A" w:rsidRPr="00294C4A" w:rsidRDefault="00294C4A" w:rsidP="00294C4A">
      <w:pPr>
        <w:jc w:val="center"/>
        <w:rPr>
          <w:b/>
          <w:szCs w:val="22"/>
        </w:rPr>
      </w:pPr>
      <w:r w:rsidRPr="00294C4A">
        <w:rPr>
          <w:rFonts w:hint="eastAsia"/>
          <w:b/>
          <w:szCs w:val="22"/>
        </w:rPr>
        <w:t>Figure 2. Comparison of A-IoT paging for CBRA and CFRA.</w:t>
      </w:r>
    </w:p>
    <w:p w14:paraId="0955FAEB" w14:textId="31C1A27B" w:rsidR="0065179D" w:rsidRPr="0065179D" w:rsidRDefault="0065179D" w:rsidP="007C60C4">
      <w:pPr>
        <w:pStyle w:val="ObservationandProposal"/>
      </w:pPr>
      <w:r>
        <w:rPr>
          <w:rFonts w:hint="eastAsia"/>
        </w:rPr>
        <w:t xml:space="preserve">Observation </w:t>
      </w:r>
      <w:r w:rsidR="00287EF0">
        <w:rPr>
          <w:rFonts w:hint="eastAsia"/>
        </w:rPr>
        <w:t>2</w:t>
      </w:r>
      <w:r>
        <w:rPr>
          <w:rFonts w:hint="eastAsia"/>
        </w:rPr>
        <w:t>.</w:t>
      </w:r>
      <w:r>
        <w:tab/>
      </w:r>
      <w:r>
        <w:rPr>
          <w:rFonts w:hint="eastAsia"/>
        </w:rPr>
        <w:t>The indication of CFRA is less flexible than 3-step CBRA and 2-step CBRA</w:t>
      </w:r>
      <w:r w:rsidR="007C60C4">
        <w:rPr>
          <w:rFonts w:hint="eastAsia"/>
        </w:rPr>
        <w:t xml:space="preserve"> since the reader has to indicate targeted devices only by using corresponding </w:t>
      </w:r>
      <w:r w:rsidR="007C60C4" w:rsidRPr="0065179D">
        <w:rPr>
          <w:rFonts w:hint="eastAsia"/>
        </w:rPr>
        <w:t>IDs</w:t>
      </w:r>
      <w:r w:rsidR="007C60C4">
        <w:rPr>
          <w:rFonts w:hint="eastAsia"/>
        </w:rPr>
        <w:t xml:space="preserve"> of targeted devices.</w:t>
      </w:r>
    </w:p>
    <w:p w14:paraId="7308A2C3" w14:textId="6984C64D" w:rsidR="007C60C4" w:rsidRDefault="00C265E2" w:rsidP="007E2FC8">
      <w:pPr>
        <w:rPr>
          <w:bCs/>
          <w:szCs w:val="22"/>
        </w:rPr>
      </w:pPr>
      <w:r>
        <w:rPr>
          <w:rFonts w:hint="eastAsia"/>
          <w:bCs/>
          <w:szCs w:val="22"/>
        </w:rPr>
        <w:t xml:space="preserve">Therefore, we suggest </w:t>
      </w:r>
      <w:r>
        <w:rPr>
          <w:bCs/>
          <w:szCs w:val="22"/>
        </w:rPr>
        <w:t>deprioritizing</w:t>
      </w:r>
      <w:r>
        <w:rPr>
          <w:rFonts w:hint="eastAsia"/>
          <w:bCs/>
          <w:szCs w:val="22"/>
        </w:rPr>
        <w:t xml:space="preserve"> CFRA and focus on 3-step CBRA at </w:t>
      </w:r>
      <w:r w:rsidR="00FD767A">
        <w:rPr>
          <w:rFonts w:hint="eastAsia"/>
          <w:bCs/>
          <w:szCs w:val="22"/>
        </w:rPr>
        <w:t>the beginning of</w:t>
      </w:r>
      <w:r>
        <w:rPr>
          <w:rFonts w:hint="eastAsia"/>
          <w:bCs/>
          <w:szCs w:val="22"/>
        </w:rPr>
        <w:t xml:space="preserve"> the normative phase. It would be beneficial to specify 2-step CBRA if there remains enough time until Rel-19 completion.</w:t>
      </w:r>
    </w:p>
    <w:p w14:paraId="72894C5D" w14:textId="72F75641" w:rsidR="007D576C" w:rsidRDefault="007D576C" w:rsidP="007D576C">
      <w:pPr>
        <w:pStyle w:val="ObservationandProposal"/>
      </w:pPr>
      <w:r>
        <w:rPr>
          <w:rFonts w:hint="eastAsia"/>
        </w:rPr>
        <w:t xml:space="preserve">Proposal </w:t>
      </w:r>
      <w:r w:rsidR="00A5251A">
        <w:rPr>
          <w:rFonts w:hint="eastAsia"/>
        </w:rPr>
        <w:t>1</w:t>
      </w:r>
      <w:r>
        <w:rPr>
          <w:rFonts w:hint="eastAsia"/>
        </w:rPr>
        <w:t>.</w:t>
      </w:r>
      <w:r>
        <w:tab/>
      </w:r>
      <w:r>
        <w:rPr>
          <w:rFonts w:hint="eastAsia"/>
        </w:rPr>
        <w:t xml:space="preserve">RAN2 prioritizes 3-step CBRA for normative work in WI phase. </w:t>
      </w:r>
      <w:r w:rsidR="007C60C4">
        <w:rPr>
          <w:rFonts w:hint="eastAsia"/>
        </w:rPr>
        <w:t xml:space="preserve">2-step </w:t>
      </w:r>
      <w:r>
        <w:rPr>
          <w:rFonts w:hint="eastAsia"/>
        </w:rPr>
        <w:t>C</w:t>
      </w:r>
      <w:r w:rsidR="007C60C4">
        <w:rPr>
          <w:rFonts w:hint="eastAsia"/>
        </w:rPr>
        <w:t>B</w:t>
      </w:r>
      <w:r>
        <w:rPr>
          <w:rFonts w:hint="eastAsia"/>
        </w:rPr>
        <w:t>RA is specified if time allows.</w:t>
      </w:r>
    </w:p>
    <w:p w14:paraId="6E7307DD" w14:textId="77777777" w:rsidR="007D576C" w:rsidRPr="0083168F" w:rsidRDefault="007D576C" w:rsidP="007E2FC8">
      <w:pPr>
        <w:rPr>
          <w:bCs/>
          <w:szCs w:val="22"/>
        </w:rPr>
      </w:pPr>
    </w:p>
    <w:p w14:paraId="622B372B" w14:textId="409292C5" w:rsidR="007E2FC8" w:rsidRDefault="007E01D7" w:rsidP="007E2FC8">
      <w:pPr>
        <w:pStyle w:val="2"/>
        <w:numPr>
          <w:ilvl w:val="1"/>
          <w:numId w:val="2"/>
        </w:numPr>
        <w:rPr>
          <w:rFonts w:cs="Arial"/>
        </w:rPr>
      </w:pPr>
      <w:r>
        <w:rPr>
          <w:rFonts w:cs="Arial" w:hint="eastAsia"/>
        </w:rPr>
        <w:t>Failure/success indication for D2R message</w:t>
      </w:r>
    </w:p>
    <w:p w14:paraId="3C96AEC2" w14:textId="6CF6EE10" w:rsidR="0083168F" w:rsidRDefault="00825617" w:rsidP="007E2FC8">
      <w:pPr>
        <w:rPr>
          <w:szCs w:val="22"/>
        </w:rPr>
      </w:pPr>
      <w:r>
        <w:rPr>
          <w:rFonts w:hint="eastAsia"/>
          <w:szCs w:val="22"/>
        </w:rPr>
        <w:t>In RAN2#127-bis, we have concluded to support explicit R2D failure/success feedback for Msg3. There is a still FFS on whether to support similar indication for D2R data</w:t>
      </w:r>
      <w:r w:rsidR="00DA0F34">
        <w:rPr>
          <w:rFonts w:hint="eastAsia"/>
          <w:szCs w:val="22"/>
        </w:rPr>
        <w:t xml:space="preserve"> transmission</w:t>
      </w:r>
      <w:r>
        <w:rPr>
          <w:rFonts w:hint="eastAsia"/>
          <w:szCs w:val="22"/>
        </w:rPr>
        <w:t xml:space="preserve"> after successful random access.</w:t>
      </w:r>
    </w:p>
    <w:tbl>
      <w:tblPr>
        <w:tblStyle w:val="ab"/>
        <w:tblW w:w="0" w:type="auto"/>
        <w:tblLook w:val="04A0" w:firstRow="1" w:lastRow="0" w:firstColumn="1" w:lastColumn="0" w:noHBand="0" w:noVBand="1"/>
      </w:tblPr>
      <w:tblGrid>
        <w:gridCol w:w="9629"/>
      </w:tblGrid>
      <w:tr w:rsidR="00825617" w14:paraId="5C2C0306" w14:textId="77777777" w:rsidTr="00825617">
        <w:tc>
          <w:tcPr>
            <w:tcW w:w="9629" w:type="dxa"/>
          </w:tcPr>
          <w:p w14:paraId="48C9D370" w14:textId="50F9B1C8" w:rsidR="00825617" w:rsidRPr="00825617" w:rsidRDefault="00825617" w:rsidP="007E2FC8">
            <w:pPr>
              <w:rPr>
                <w:szCs w:val="22"/>
              </w:rPr>
            </w:pPr>
            <w:r>
              <w:rPr>
                <w:rFonts w:hint="eastAsia"/>
                <w:b/>
                <w:bCs/>
                <w:szCs w:val="22"/>
                <w:u w:val="single"/>
              </w:rPr>
              <w:t>RAN2#127-bis</w:t>
            </w:r>
            <w:r>
              <w:rPr>
                <w:rFonts w:hint="eastAsia"/>
                <w:szCs w:val="22"/>
              </w:rPr>
              <w:t xml:space="preserve"> [2]</w:t>
            </w:r>
          </w:p>
          <w:p w14:paraId="5B36B0DD" w14:textId="3622CF62" w:rsidR="00825617" w:rsidRDefault="00825617" w:rsidP="00825617">
            <w:pPr>
              <w:pStyle w:val="Doc-text2"/>
              <w:tabs>
                <w:tab w:val="clear" w:pos="1622"/>
                <w:tab w:val="left" w:pos="1298"/>
              </w:tabs>
              <w:ind w:left="447"/>
              <w:rPr>
                <w:szCs w:val="22"/>
              </w:rPr>
            </w:pPr>
            <w:r w:rsidRPr="00B050F0">
              <w:rPr>
                <w:noProof/>
              </w:rPr>
              <w:t>2</w:t>
            </w:r>
            <w:r w:rsidRPr="00B050F0">
              <w:rPr>
                <w:noProof/>
              </w:rPr>
              <w:tab/>
            </w:r>
            <w:r w:rsidRPr="00B050F0">
              <w:t>Support</w:t>
            </w:r>
            <w:r w:rsidRPr="00B050F0">
              <w:rPr>
                <w:noProof/>
              </w:rPr>
              <w:t xml:space="preserve"> optional explicit R2D failure/success feedback indication for at least MSG3 for re-access purpose.  </w:t>
            </w:r>
            <w:r w:rsidRPr="00825617">
              <w:rPr>
                <w:noProof/>
                <w:highlight w:val="yellow"/>
              </w:rPr>
              <w:t>FFS for following D2R data.</w:t>
            </w:r>
            <w:r w:rsidRPr="00B050F0">
              <w:rPr>
                <w:noProof/>
              </w:rPr>
              <w:t xml:space="preserve">   </w:t>
            </w:r>
          </w:p>
        </w:tc>
      </w:tr>
    </w:tbl>
    <w:p w14:paraId="0E36584A" w14:textId="4B43BF52" w:rsidR="00825617" w:rsidRDefault="00E5458C" w:rsidP="007E2FC8">
      <w:pPr>
        <w:rPr>
          <w:szCs w:val="22"/>
        </w:rPr>
      </w:pPr>
      <w:r>
        <w:rPr>
          <w:rFonts w:hint="eastAsia"/>
          <w:szCs w:val="22"/>
        </w:rPr>
        <w:t xml:space="preserve">Considering that we agreed to study segmentation in the MAC for D2R message, there is a case where the reader is waiting for reception of another segment when the segmentation is indicated in the previous D2R message. For instance, when the first segment is successfully received by the </w:t>
      </w:r>
      <w:r w:rsidR="00442454">
        <w:rPr>
          <w:szCs w:val="22"/>
        </w:rPr>
        <w:t>reader,</w:t>
      </w:r>
      <w:r>
        <w:rPr>
          <w:rFonts w:hint="eastAsia"/>
          <w:szCs w:val="22"/>
        </w:rPr>
        <w:t xml:space="preserve"> but the second segment is not received, the failure detection of D2R data and re-access to fetch the missed </w:t>
      </w:r>
      <w:r w:rsidR="00FD767A">
        <w:rPr>
          <w:rFonts w:hint="eastAsia"/>
          <w:szCs w:val="22"/>
        </w:rPr>
        <w:t>second segment</w:t>
      </w:r>
      <w:r>
        <w:rPr>
          <w:rFonts w:hint="eastAsia"/>
          <w:szCs w:val="22"/>
        </w:rPr>
        <w:t xml:space="preserve"> will be beneficial in order to utilize the first segment</w:t>
      </w:r>
      <w:r w:rsidR="00FD767A">
        <w:rPr>
          <w:rFonts w:hint="eastAsia"/>
          <w:szCs w:val="22"/>
        </w:rPr>
        <w:t xml:space="preserve"> buffered</w:t>
      </w:r>
      <w:r>
        <w:rPr>
          <w:rFonts w:hint="eastAsia"/>
          <w:szCs w:val="22"/>
        </w:rPr>
        <w:t xml:space="preserve"> in the reader side without restating the reception from the first segment.</w:t>
      </w:r>
    </w:p>
    <w:p w14:paraId="4AB1DBB2" w14:textId="595FF777" w:rsidR="00E5458C" w:rsidRDefault="00E5458C" w:rsidP="00E5458C">
      <w:pPr>
        <w:pStyle w:val="ObservationandProposal"/>
      </w:pPr>
      <w:r>
        <w:rPr>
          <w:rFonts w:hint="eastAsia"/>
        </w:rPr>
        <w:t xml:space="preserve">Proposal </w:t>
      </w:r>
      <w:r w:rsidR="00A5251A">
        <w:rPr>
          <w:rFonts w:hint="eastAsia"/>
        </w:rPr>
        <w:t>2</w:t>
      </w:r>
      <w:r>
        <w:rPr>
          <w:rFonts w:hint="eastAsia"/>
        </w:rPr>
        <w:t>.</w:t>
      </w:r>
      <w:r>
        <w:tab/>
      </w:r>
      <w:r>
        <w:rPr>
          <w:rFonts w:hint="eastAsia"/>
        </w:rPr>
        <w:t>Support optional explicit failure/success feedback indication for D2R data after successful random access completion.</w:t>
      </w:r>
    </w:p>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lastRenderedPageBreak/>
        <w:t>Summary and proposal</w:t>
      </w:r>
    </w:p>
    <w:p w14:paraId="766A3002" w14:textId="77777777" w:rsidR="0031052D" w:rsidRDefault="0031052D" w:rsidP="0031052D">
      <w:pPr>
        <w:pStyle w:val="ObservationandProposal"/>
      </w:pPr>
      <w:r>
        <w:rPr>
          <w:rFonts w:hint="eastAsia"/>
        </w:rPr>
        <w:t>Observation 1.</w:t>
      </w:r>
      <w:r>
        <w:tab/>
      </w:r>
      <w:r>
        <w:rPr>
          <w:rFonts w:hint="eastAsia"/>
          <w:bCs w:val="0"/>
        </w:rPr>
        <w:t>The 3-step CBRA is more robust and more resource-efficient than 2-step CBRA.</w:t>
      </w:r>
    </w:p>
    <w:p w14:paraId="583F69C0" w14:textId="77777777" w:rsidR="0031052D" w:rsidRPr="0065179D" w:rsidRDefault="0031052D" w:rsidP="0031052D">
      <w:pPr>
        <w:pStyle w:val="ObservationandProposal"/>
      </w:pPr>
      <w:r>
        <w:rPr>
          <w:rFonts w:hint="eastAsia"/>
        </w:rPr>
        <w:t>Observation 2.</w:t>
      </w:r>
      <w:r>
        <w:tab/>
      </w:r>
      <w:r>
        <w:rPr>
          <w:rFonts w:hint="eastAsia"/>
        </w:rPr>
        <w:t xml:space="preserve">The indication of CFRA is less flexible than 3-step CBRA and 2-step CBRA since the reader has to indicate targeted devices only by using corresponding </w:t>
      </w:r>
      <w:r w:rsidRPr="0065179D">
        <w:rPr>
          <w:rFonts w:hint="eastAsia"/>
        </w:rPr>
        <w:t>IDs</w:t>
      </w:r>
      <w:r>
        <w:rPr>
          <w:rFonts w:hint="eastAsia"/>
        </w:rPr>
        <w:t xml:space="preserve"> of targeted devices.</w:t>
      </w:r>
    </w:p>
    <w:p w14:paraId="1B04C5AE" w14:textId="77777777" w:rsidR="0031052D" w:rsidRDefault="0031052D" w:rsidP="0031052D">
      <w:pPr>
        <w:pStyle w:val="ObservationandProposal"/>
      </w:pPr>
      <w:r>
        <w:rPr>
          <w:rFonts w:hint="eastAsia"/>
        </w:rPr>
        <w:t>Proposal 1.</w:t>
      </w:r>
      <w:r>
        <w:tab/>
      </w:r>
      <w:r>
        <w:rPr>
          <w:rFonts w:hint="eastAsia"/>
        </w:rPr>
        <w:t>RAN2 prioritizes 3-step CBRA for normative work in WI phase. 2-step CBRA is specified if time allows.</w:t>
      </w:r>
    </w:p>
    <w:p w14:paraId="74DB9E0D" w14:textId="77777777" w:rsidR="0031052D" w:rsidRDefault="0031052D" w:rsidP="0031052D">
      <w:pPr>
        <w:pStyle w:val="ObservationandProposal"/>
      </w:pPr>
      <w:r>
        <w:rPr>
          <w:rFonts w:hint="eastAsia"/>
        </w:rPr>
        <w:t>Proposal 2.</w:t>
      </w:r>
      <w:r>
        <w:tab/>
      </w:r>
      <w:r>
        <w:rPr>
          <w:rFonts w:hint="eastAsia"/>
        </w:rPr>
        <w:t>Support optional explicit failure/success feedback indication for D2R data after successful random access completion.</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533446B5" w14:textId="77777777" w:rsidR="00CC0529" w:rsidRDefault="00CC0529" w:rsidP="00CC0529">
      <w:pPr>
        <w:pStyle w:val="Reference"/>
      </w:pPr>
      <w:r>
        <w:rPr>
          <w:rFonts w:hint="eastAsia"/>
        </w:rPr>
        <w:t>[1]</w:t>
      </w:r>
      <w:r>
        <w:tab/>
      </w:r>
      <w:r>
        <w:rPr>
          <w:rFonts w:hint="eastAsia"/>
        </w:rPr>
        <w:t xml:space="preserve">RP-240826, </w:t>
      </w:r>
      <w:r>
        <w:t>“</w:t>
      </w:r>
      <w:r w:rsidRPr="00F705B9">
        <w:t>Revised SID: Study on solutions for Ambient IoT (Internet of Things) in NR</w:t>
      </w:r>
      <w:r>
        <w:rPr>
          <w:rFonts w:hint="eastAsia"/>
        </w:rPr>
        <w:t>,</w:t>
      </w:r>
      <w:r>
        <w:t>”</w:t>
      </w:r>
      <w:r>
        <w:rPr>
          <w:rFonts w:hint="eastAsia"/>
        </w:rPr>
        <w:t xml:space="preserve"> RAN#103.</w:t>
      </w:r>
    </w:p>
    <w:p w14:paraId="45C5E7FE" w14:textId="6DF0B95D" w:rsidR="00825617" w:rsidRDefault="00825617" w:rsidP="00CC0529">
      <w:pPr>
        <w:pStyle w:val="Reference"/>
      </w:pPr>
      <w:r>
        <w:rPr>
          <w:rFonts w:hint="eastAsia"/>
        </w:rPr>
        <w:t>[2]</w:t>
      </w:r>
      <w:r>
        <w:tab/>
      </w:r>
      <w:r>
        <w:rPr>
          <w:rFonts w:hint="eastAsia"/>
        </w:rPr>
        <w:t>Chair</w:t>
      </w:r>
      <w:r>
        <w:t>’</w:t>
      </w:r>
      <w:r>
        <w:rPr>
          <w:rFonts w:hint="eastAsia"/>
        </w:rPr>
        <w:t>s notes, RAN2#127-bis.</w:t>
      </w:r>
    </w:p>
    <w:p w14:paraId="70E9C4EA" w14:textId="77777777" w:rsidR="00CC0529" w:rsidRPr="00262F8E" w:rsidRDefault="00CC0529">
      <w:pPr>
        <w:rPr>
          <w:szCs w:val="22"/>
        </w:rPr>
      </w:pPr>
    </w:p>
    <w:sectPr w:rsidR="00CC0529" w:rsidRPr="00262F8E">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1E749" w14:textId="77777777" w:rsidR="00A14C7A" w:rsidRDefault="00A14C7A" w:rsidP="007E2FC8">
      <w:pPr>
        <w:spacing w:after="0"/>
      </w:pPr>
      <w:r>
        <w:separator/>
      </w:r>
    </w:p>
    <w:p w14:paraId="5412AAA5" w14:textId="77777777" w:rsidR="00A14C7A" w:rsidRDefault="00A14C7A"/>
    <w:p w14:paraId="6B294E96" w14:textId="77777777" w:rsidR="00A14C7A" w:rsidRDefault="00A14C7A" w:rsidP="00273403"/>
  </w:endnote>
  <w:endnote w:type="continuationSeparator" w:id="0">
    <w:p w14:paraId="0B6DD98E" w14:textId="77777777" w:rsidR="00A14C7A" w:rsidRDefault="00A14C7A" w:rsidP="007E2FC8">
      <w:pPr>
        <w:spacing w:after="0"/>
      </w:pPr>
      <w:r>
        <w:continuationSeparator/>
      </w:r>
    </w:p>
    <w:p w14:paraId="103FD4C9" w14:textId="77777777" w:rsidR="00A14C7A" w:rsidRDefault="00A14C7A"/>
    <w:p w14:paraId="7BD2DF55" w14:textId="77777777" w:rsidR="00A14C7A" w:rsidRDefault="00A14C7A"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6C2A6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6C2A6A" w:rsidRDefault="006C2A6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6C2A6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C3499" w14:textId="77777777" w:rsidR="00A14C7A" w:rsidRDefault="00A14C7A" w:rsidP="007E2FC8">
      <w:pPr>
        <w:spacing w:after="0"/>
      </w:pPr>
      <w:r>
        <w:separator/>
      </w:r>
    </w:p>
    <w:p w14:paraId="778A91DE" w14:textId="77777777" w:rsidR="00A14C7A" w:rsidRDefault="00A14C7A"/>
    <w:p w14:paraId="1A0AEC02" w14:textId="77777777" w:rsidR="00A14C7A" w:rsidRDefault="00A14C7A" w:rsidP="00273403"/>
  </w:footnote>
  <w:footnote w:type="continuationSeparator" w:id="0">
    <w:p w14:paraId="772EFF6F" w14:textId="77777777" w:rsidR="00A14C7A" w:rsidRDefault="00A14C7A" w:rsidP="007E2FC8">
      <w:pPr>
        <w:spacing w:after="0"/>
      </w:pPr>
      <w:r>
        <w:continuationSeparator/>
      </w:r>
    </w:p>
    <w:p w14:paraId="610A3EEE" w14:textId="77777777" w:rsidR="00A14C7A" w:rsidRDefault="00A14C7A"/>
    <w:p w14:paraId="611D292B" w14:textId="77777777" w:rsidR="00A14C7A" w:rsidRDefault="00A14C7A"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3377F"/>
    <w:multiLevelType w:val="hybridMultilevel"/>
    <w:tmpl w:val="95F0B52E"/>
    <w:lvl w:ilvl="0" w:tplc="1FE892FE">
      <w:start w:val="1"/>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697043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A4618"/>
    <w:rsid w:val="000B6616"/>
    <w:rsid w:val="000C172C"/>
    <w:rsid w:val="000E70E5"/>
    <w:rsid w:val="00120812"/>
    <w:rsid w:val="00122395"/>
    <w:rsid w:val="001376E5"/>
    <w:rsid w:val="001E1D1E"/>
    <w:rsid w:val="001F6882"/>
    <w:rsid w:val="00205460"/>
    <w:rsid w:val="002446F2"/>
    <w:rsid w:val="002569F3"/>
    <w:rsid w:val="00262F8E"/>
    <w:rsid w:val="00273403"/>
    <w:rsid w:val="00287EF0"/>
    <w:rsid w:val="00294354"/>
    <w:rsid w:val="00294C4A"/>
    <w:rsid w:val="002A3787"/>
    <w:rsid w:val="002B1143"/>
    <w:rsid w:val="002B674A"/>
    <w:rsid w:val="0031052D"/>
    <w:rsid w:val="00385B37"/>
    <w:rsid w:val="003959AC"/>
    <w:rsid w:val="003965B3"/>
    <w:rsid w:val="003D3379"/>
    <w:rsid w:val="00442454"/>
    <w:rsid w:val="00452602"/>
    <w:rsid w:val="004864E6"/>
    <w:rsid w:val="004A3CEE"/>
    <w:rsid w:val="004D1B48"/>
    <w:rsid w:val="004E25DA"/>
    <w:rsid w:val="004E6B03"/>
    <w:rsid w:val="004F6390"/>
    <w:rsid w:val="00537958"/>
    <w:rsid w:val="005839E2"/>
    <w:rsid w:val="005857F6"/>
    <w:rsid w:val="005F1EB4"/>
    <w:rsid w:val="005F73C8"/>
    <w:rsid w:val="00614027"/>
    <w:rsid w:val="0064067A"/>
    <w:rsid w:val="0065179D"/>
    <w:rsid w:val="006807F7"/>
    <w:rsid w:val="006C2A6A"/>
    <w:rsid w:val="00730030"/>
    <w:rsid w:val="00735D62"/>
    <w:rsid w:val="007C60C4"/>
    <w:rsid w:val="007D576C"/>
    <w:rsid w:val="007E01D7"/>
    <w:rsid w:val="007E1A49"/>
    <w:rsid w:val="007E2FC8"/>
    <w:rsid w:val="00825617"/>
    <w:rsid w:val="0083168F"/>
    <w:rsid w:val="00891350"/>
    <w:rsid w:val="00896DC7"/>
    <w:rsid w:val="008C2D47"/>
    <w:rsid w:val="008E5A66"/>
    <w:rsid w:val="0092515C"/>
    <w:rsid w:val="009A78DB"/>
    <w:rsid w:val="009B05FA"/>
    <w:rsid w:val="00A14C7A"/>
    <w:rsid w:val="00A32033"/>
    <w:rsid w:val="00A34556"/>
    <w:rsid w:val="00A5251A"/>
    <w:rsid w:val="00AB422A"/>
    <w:rsid w:val="00B2624C"/>
    <w:rsid w:val="00B329A1"/>
    <w:rsid w:val="00B568D5"/>
    <w:rsid w:val="00C008BA"/>
    <w:rsid w:val="00C265E2"/>
    <w:rsid w:val="00C97CFC"/>
    <w:rsid w:val="00CC0529"/>
    <w:rsid w:val="00CE2521"/>
    <w:rsid w:val="00D8679B"/>
    <w:rsid w:val="00D94041"/>
    <w:rsid w:val="00DA0F34"/>
    <w:rsid w:val="00DB3109"/>
    <w:rsid w:val="00DB76B3"/>
    <w:rsid w:val="00DC50EF"/>
    <w:rsid w:val="00DD53A9"/>
    <w:rsid w:val="00E2631E"/>
    <w:rsid w:val="00E5458C"/>
    <w:rsid w:val="00EB1AD1"/>
    <w:rsid w:val="00EE5D5E"/>
    <w:rsid w:val="00F06BDD"/>
    <w:rsid w:val="00F560E5"/>
    <w:rsid w:val="00FC60C3"/>
    <w:rsid w:val="00FD7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F06BDD"/>
    <w:pPr>
      <w:ind w:leftChars="400" w:left="840"/>
    </w:pPr>
  </w:style>
  <w:style w:type="table" w:styleId="ab">
    <w:name w:val="Table Grid"/>
    <w:basedOn w:val="a1"/>
    <w:uiPriority w:val="39"/>
    <w:rsid w:val="0082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25617"/>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825617"/>
    <w:rPr>
      <w:rFonts w:eastAsia="ＭＳ 明朝"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3</Pages>
  <Words>671</Words>
  <Characters>3825</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49</cp:revision>
  <dcterms:created xsi:type="dcterms:W3CDTF">2021-10-20T07:13:00Z</dcterms:created>
  <dcterms:modified xsi:type="dcterms:W3CDTF">2024-11-08T00:12:00Z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